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05FA0" w14:textId="77777777" w:rsidR="00A92EB1" w:rsidRPr="00D675D5" w:rsidRDefault="004C22FF" w:rsidP="004C22FF">
      <w:pPr>
        <w:jc w:val="center"/>
        <w:rPr>
          <w:rFonts w:ascii="Times New Roman" w:hAnsi="Times New Roman" w:cs="Times New Roman"/>
          <w:sz w:val="24"/>
          <w:szCs w:val="24"/>
          <w:u w:val="single"/>
        </w:rPr>
      </w:pPr>
      <w:r w:rsidRPr="00D675D5">
        <w:rPr>
          <w:rFonts w:ascii="Times New Roman" w:hAnsi="Times New Roman" w:cs="Times New Roman"/>
          <w:sz w:val="24"/>
          <w:szCs w:val="24"/>
          <w:u w:val="single"/>
        </w:rPr>
        <w:t xml:space="preserve">NOTICE OF </w:t>
      </w:r>
      <w:r w:rsidR="00B52B95" w:rsidRPr="00D675D5">
        <w:rPr>
          <w:rFonts w:ascii="Times New Roman" w:hAnsi="Times New Roman" w:cs="Times New Roman"/>
          <w:sz w:val="24"/>
          <w:szCs w:val="24"/>
          <w:u w:val="single"/>
        </w:rPr>
        <w:t xml:space="preserve">EXTENSION OF </w:t>
      </w:r>
      <w:r w:rsidRPr="00D675D5">
        <w:rPr>
          <w:rFonts w:ascii="Times New Roman" w:hAnsi="Times New Roman" w:cs="Times New Roman"/>
          <w:sz w:val="24"/>
          <w:szCs w:val="24"/>
          <w:u w:val="single"/>
        </w:rPr>
        <w:t>SECOND AMENDED CONSENT DECREE</w:t>
      </w:r>
    </w:p>
    <w:p w14:paraId="63E05FA1" w14:textId="77777777" w:rsidR="004C22FF" w:rsidRPr="00D675D5" w:rsidRDefault="004C22FF" w:rsidP="004C22FF">
      <w:pPr>
        <w:jc w:val="center"/>
        <w:rPr>
          <w:rFonts w:ascii="Times New Roman" w:hAnsi="Times New Roman" w:cs="Times New Roman"/>
          <w:sz w:val="24"/>
          <w:szCs w:val="24"/>
          <w:u w:val="single"/>
        </w:rPr>
      </w:pPr>
    </w:p>
    <w:p w14:paraId="63E05FA2" w14:textId="77777777" w:rsidR="004C22FF" w:rsidRPr="006E30E2" w:rsidRDefault="004C22FF" w:rsidP="004C22FF">
      <w:pPr>
        <w:rPr>
          <w:rFonts w:ascii="Times New Roman" w:hAnsi="Times New Roman" w:cs="Times New Roman"/>
          <w:sz w:val="24"/>
          <w:szCs w:val="24"/>
        </w:rPr>
      </w:pPr>
      <w:r w:rsidRPr="006E30E2">
        <w:rPr>
          <w:rFonts w:ascii="Times New Roman" w:hAnsi="Times New Roman" w:cs="Times New Roman"/>
          <w:i/>
          <w:sz w:val="24"/>
          <w:szCs w:val="24"/>
        </w:rPr>
        <w:t>Hedrick v. Grant</w:t>
      </w:r>
      <w:r w:rsidRPr="006E30E2">
        <w:rPr>
          <w:rFonts w:ascii="Times New Roman" w:hAnsi="Times New Roman" w:cs="Times New Roman"/>
          <w:sz w:val="24"/>
          <w:szCs w:val="24"/>
        </w:rPr>
        <w:t xml:space="preserve">, E.D. Cal. No. 2:76-cv-00162-JAM-EFB, is a federal class action </w:t>
      </w:r>
      <w:r w:rsidR="009130A1" w:rsidRPr="006E30E2">
        <w:rPr>
          <w:rFonts w:ascii="Times New Roman" w:hAnsi="Times New Roman" w:cs="Times New Roman"/>
          <w:sz w:val="24"/>
          <w:szCs w:val="24"/>
        </w:rPr>
        <w:t xml:space="preserve">lawsuit </w:t>
      </w:r>
      <w:r w:rsidRPr="006E30E2">
        <w:rPr>
          <w:rFonts w:ascii="Times New Roman" w:hAnsi="Times New Roman" w:cs="Times New Roman"/>
          <w:sz w:val="24"/>
          <w:szCs w:val="24"/>
        </w:rPr>
        <w:t>about the conditions in the Yuba County Jail (“the Jail”).</w:t>
      </w:r>
    </w:p>
    <w:p w14:paraId="63E05FA3" w14:textId="77777777" w:rsidR="004C22FF" w:rsidRPr="006E30E2" w:rsidRDefault="004C22FF" w:rsidP="004C22FF">
      <w:pPr>
        <w:rPr>
          <w:rFonts w:ascii="Times New Roman" w:hAnsi="Times New Roman" w:cs="Times New Roman"/>
          <w:sz w:val="24"/>
          <w:szCs w:val="24"/>
        </w:rPr>
      </w:pPr>
      <w:r w:rsidRPr="006E30E2">
        <w:rPr>
          <w:rFonts w:ascii="Times New Roman" w:hAnsi="Times New Roman" w:cs="Times New Roman"/>
          <w:sz w:val="24"/>
          <w:szCs w:val="24"/>
        </w:rPr>
        <w:t>All current people incarcerated in the Jail are members of a class that was certified by the Court in 1976.</w:t>
      </w:r>
    </w:p>
    <w:p w14:paraId="63E05FA4" w14:textId="77777777" w:rsidR="004C22FF" w:rsidRPr="006E30E2" w:rsidRDefault="004C22FF" w:rsidP="004C22FF">
      <w:pPr>
        <w:rPr>
          <w:rFonts w:ascii="Times New Roman" w:hAnsi="Times New Roman" w:cs="Times New Roman"/>
          <w:sz w:val="24"/>
          <w:szCs w:val="24"/>
        </w:rPr>
      </w:pPr>
      <w:r w:rsidRPr="006E30E2">
        <w:rPr>
          <w:rFonts w:ascii="Times New Roman" w:hAnsi="Times New Roman" w:cs="Times New Roman"/>
          <w:sz w:val="24"/>
          <w:szCs w:val="24"/>
        </w:rPr>
        <w:t xml:space="preserve">In 1979, the district court entered an order called a consent decree to improve certain aspects of the Jail’s operations (“Consent Decree”).  In August 2018, the class – represented by the lawyers listed below – and the County of Yuba reached an agreement on a proposed Amended Consent Decree.  The Amended Consent Decree kept </w:t>
      </w:r>
      <w:proofErr w:type="gramStart"/>
      <w:r w:rsidRPr="006E30E2">
        <w:rPr>
          <w:rFonts w:ascii="Times New Roman" w:hAnsi="Times New Roman" w:cs="Times New Roman"/>
          <w:sz w:val="24"/>
          <w:szCs w:val="24"/>
        </w:rPr>
        <w:t>many</w:t>
      </w:r>
      <w:r w:rsidR="00054AD3" w:rsidRPr="006E30E2">
        <w:rPr>
          <w:rFonts w:ascii="Times New Roman" w:hAnsi="Times New Roman" w:cs="Times New Roman"/>
          <w:sz w:val="24"/>
          <w:szCs w:val="24"/>
        </w:rPr>
        <w:t>,</w:t>
      </w:r>
      <w:r w:rsidRPr="006E30E2">
        <w:rPr>
          <w:rFonts w:ascii="Times New Roman" w:hAnsi="Times New Roman" w:cs="Times New Roman"/>
          <w:sz w:val="24"/>
          <w:szCs w:val="24"/>
        </w:rPr>
        <w:t xml:space="preserve"> and</w:t>
      </w:r>
      <w:proofErr w:type="gramEnd"/>
      <w:r w:rsidRPr="006E30E2">
        <w:rPr>
          <w:rFonts w:ascii="Times New Roman" w:hAnsi="Times New Roman" w:cs="Times New Roman"/>
          <w:sz w:val="24"/>
          <w:szCs w:val="24"/>
        </w:rPr>
        <w:t xml:space="preserve"> modified some of the provisions of the Consent Decree and added </w:t>
      </w:r>
      <w:proofErr w:type="gramStart"/>
      <w:r w:rsidRPr="006E30E2">
        <w:rPr>
          <w:rFonts w:ascii="Times New Roman" w:hAnsi="Times New Roman" w:cs="Times New Roman"/>
          <w:sz w:val="24"/>
          <w:szCs w:val="24"/>
        </w:rPr>
        <w:t>a number of</w:t>
      </w:r>
      <w:proofErr w:type="gramEnd"/>
      <w:r w:rsidRPr="006E30E2">
        <w:rPr>
          <w:rFonts w:ascii="Times New Roman" w:hAnsi="Times New Roman" w:cs="Times New Roman"/>
          <w:sz w:val="24"/>
          <w:szCs w:val="24"/>
        </w:rPr>
        <w:t xml:space="preserve"> new provisions. </w:t>
      </w:r>
    </w:p>
    <w:p w14:paraId="63E05FA5" w14:textId="77777777" w:rsidR="00B335A8" w:rsidRPr="006E30E2" w:rsidRDefault="004C22FF" w:rsidP="004C22FF">
      <w:pPr>
        <w:rPr>
          <w:rFonts w:ascii="Times New Roman" w:hAnsi="Times New Roman" w:cs="Times New Roman"/>
          <w:sz w:val="24"/>
          <w:szCs w:val="24"/>
        </w:rPr>
      </w:pPr>
      <w:r w:rsidRPr="006E30E2">
        <w:rPr>
          <w:rFonts w:ascii="Times New Roman" w:hAnsi="Times New Roman" w:cs="Times New Roman"/>
          <w:sz w:val="24"/>
          <w:szCs w:val="24"/>
        </w:rPr>
        <w:t xml:space="preserve">After extensive meet and confer efforts, the parties agreed to a Second Amended Consent Decree (“SACD”).  The primary purpose of the SACD was to extend the term of certain provisions of the ACD related to suicide prevention and the treatment of incarcerated people with mental illness and those experiencing drug and alcohol withdrawal.  On September 13, 2023, </w:t>
      </w:r>
      <w:r w:rsidR="00DE4FFB" w:rsidRPr="006E30E2">
        <w:rPr>
          <w:rFonts w:ascii="Times New Roman" w:hAnsi="Times New Roman" w:cs="Times New Roman"/>
          <w:sz w:val="24"/>
          <w:szCs w:val="24"/>
        </w:rPr>
        <w:t>United States Magistrate Judge Edmund F. Brennan granted final approval of the SACD</w:t>
      </w:r>
      <w:r w:rsidR="00B150B2" w:rsidRPr="006E30E2">
        <w:rPr>
          <w:rFonts w:ascii="Times New Roman" w:hAnsi="Times New Roman" w:cs="Times New Roman"/>
          <w:sz w:val="24"/>
          <w:szCs w:val="24"/>
        </w:rPr>
        <w:t xml:space="preserve"> that would</w:t>
      </w:r>
      <w:r w:rsidR="00054AD3" w:rsidRPr="006E30E2">
        <w:rPr>
          <w:rFonts w:ascii="Times New Roman" w:hAnsi="Times New Roman" w:cs="Times New Roman"/>
          <w:sz w:val="24"/>
          <w:szCs w:val="24"/>
        </w:rPr>
        <w:t xml:space="preserve"> terminat</w:t>
      </w:r>
      <w:r w:rsidR="00B150B2" w:rsidRPr="006E30E2">
        <w:rPr>
          <w:rFonts w:ascii="Times New Roman" w:hAnsi="Times New Roman" w:cs="Times New Roman"/>
          <w:sz w:val="24"/>
          <w:szCs w:val="24"/>
        </w:rPr>
        <w:t>e</w:t>
      </w:r>
      <w:r w:rsidR="00054AD3" w:rsidRPr="006E30E2">
        <w:rPr>
          <w:rFonts w:ascii="Times New Roman" w:hAnsi="Times New Roman" w:cs="Times New Roman"/>
          <w:sz w:val="24"/>
          <w:szCs w:val="24"/>
        </w:rPr>
        <w:t xml:space="preserve"> on</w:t>
      </w:r>
      <w:r w:rsidR="00DE4FFB" w:rsidRPr="006E30E2">
        <w:rPr>
          <w:rFonts w:ascii="Times New Roman" w:hAnsi="Times New Roman" w:cs="Times New Roman"/>
          <w:sz w:val="24"/>
          <w:szCs w:val="24"/>
        </w:rPr>
        <w:t xml:space="preserve"> January 31, 2025 unless the Court extended it.  </w:t>
      </w:r>
    </w:p>
    <w:p w14:paraId="63E05FA6" w14:textId="77777777" w:rsidR="004C22FF" w:rsidRPr="006E30E2" w:rsidRDefault="00DE4FFB" w:rsidP="00C2418F">
      <w:pPr>
        <w:jc w:val="both"/>
        <w:rPr>
          <w:rFonts w:ascii="Times New Roman" w:hAnsi="Times New Roman" w:cs="Times New Roman"/>
          <w:sz w:val="24"/>
          <w:szCs w:val="24"/>
        </w:rPr>
      </w:pPr>
      <w:r w:rsidRPr="006E30E2">
        <w:rPr>
          <w:rFonts w:ascii="Times New Roman" w:hAnsi="Times New Roman" w:cs="Times New Roman"/>
          <w:sz w:val="24"/>
          <w:szCs w:val="24"/>
        </w:rPr>
        <w:t>The provisions of the SACD require the County to, among other things:  maintain an increased number of licensed</w:t>
      </w:r>
      <w:r w:rsidR="00054AD3" w:rsidRPr="006E30E2">
        <w:rPr>
          <w:rFonts w:ascii="Times New Roman" w:hAnsi="Times New Roman" w:cs="Times New Roman"/>
          <w:sz w:val="24"/>
          <w:szCs w:val="24"/>
        </w:rPr>
        <w:t xml:space="preserve"> </w:t>
      </w:r>
      <w:r w:rsidR="000D2A12" w:rsidRPr="006E30E2">
        <w:rPr>
          <w:rFonts w:ascii="Times New Roman" w:hAnsi="Times New Roman" w:cs="Times New Roman"/>
          <w:sz w:val="24"/>
          <w:szCs w:val="24"/>
        </w:rPr>
        <w:t>mental health staff 7 days per week; have registered nurses at intake health screenings; provide timely access to inpatient medical and mental health care; continue policies for the use of telepsychiatry; triage all sick call slips relating to mental health within 24 hours; limit placement in safety cells to 24 consecutive hours and 36 hours in any 120-hour period; require that persons held in step-down cells or a combination of safety and step-down cells for 120 consecutive hours be transferred either to a less-restrictive setting in the Jail or to an inpatient mental health facility or hospital emergency room for assessment and care; conduct suicide risk assessment on certain people placed in Segregated Housing; conduct daily health care rounds on all people in Segregated</w:t>
      </w:r>
      <w:r w:rsidR="00B335A8" w:rsidRPr="006E30E2">
        <w:rPr>
          <w:rFonts w:ascii="Times New Roman" w:hAnsi="Times New Roman" w:cs="Times New Roman"/>
          <w:sz w:val="24"/>
          <w:szCs w:val="24"/>
        </w:rPr>
        <w:t xml:space="preserve"> </w:t>
      </w:r>
      <w:r w:rsidR="000D2A12" w:rsidRPr="006E30E2">
        <w:rPr>
          <w:rFonts w:ascii="Times New Roman" w:hAnsi="Times New Roman" w:cs="Times New Roman"/>
          <w:sz w:val="24"/>
          <w:szCs w:val="24"/>
        </w:rPr>
        <w:t>Housing; and increase the amoun</w:t>
      </w:r>
      <w:r w:rsidR="00B335A8" w:rsidRPr="006E30E2">
        <w:rPr>
          <w:rFonts w:ascii="Times New Roman" w:hAnsi="Times New Roman" w:cs="Times New Roman"/>
          <w:sz w:val="24"/>
          <w:szCs w:val="24"/>
        </w:rPr>
        <w:t xml:space="preserve">t of out-of-cell time for people in Segregated Housing.  The Second Amended Consent Decree also requires the appointment of a </w:t>
      </w:r>
      <w:proofErr w:type="gramStart"/>
      <w:r w:rsidR="00180ECC" w:rsidRPr="006E30E2">
        <w:rPr>
          <w:rFonts w:ascii="Times New Roman" w:hAnsi="Times New Roman" w:cs="Times New Roman"/>
          <w:sz w:val="24"/>
          <w:szCs w:val="24"/>
        </w:rPr>
        <w:t>third party</w:t>
      </w:r>
      <w:proofErr w:type="gramEnd"/>
      <w:r w:rsidR="00B335A8" w:rsidRPr="006E30E2">
        <w:rPr>
          <w:rFonts w:ascii="Times New Roman" w:hAnsi="Times New Roman" w:cs="Times New Roman"/>
          <w:sz w:val="24"/>
          <w:szCs w:val="24"/>
        </w:rPr>
        <w:t xml:space="preserve"> Monitor to assess Defendants’ compliance with the Second Amended Consent Decree.  </w:t>
      </w:r>
    </w:p>
    <w:p w14:paraId="63E05FA7" w14:textId="77777777" w:rsidR="00B335A8" w:rsidRPr="006E30E2" w:rsidRDefault="00B335A8" w:rsidP="00B335A8">
      <w:pPr>
        <w:rPr>
          <w:rFonts w:ascii="Times New Roman" w:hAnsi="Times New Roman" w:cs="Times New Roman"/>
          <w:sz w:val="24"/>
          <w:szCs w:val="24"/>
        </w:rPr>
      </w:pPr>
      <w:r w:rsidRPr="006E30E2">
        <w:rPr>
          <w:rFonts w:ascii="Times New Roman" w:hAnsi="Times New Roman" w:cs="Times New Roman"/>
          <w:sz w:val="24"/>
          <w:szCs w:val="24"/>
        </w:rPr>
        <w:t xml:space="preserve">Ms. Jackie Clark is the Monitor overseeing compliance </w:t>
      </w:r>
      <w:r w:rsidR="00E32A86" w:rsidRPr="006E30E2">
        <w:rPr>
          <w:rFonts w:ascii="Times New Roman" w:hAnsi="Times New Roman" w:cs="Times New Roman"/>
          <w:sz w:val="24"/>
          <w:szCs w:val="24"/>
        </w:rPr>
        <w:t>with the SACD</w:t>
      </w:r>
      <w:r w:rsidRPr="006E30E2">
        <w:rPr>
          <w:rFonts w:ascii="Times New Roman" w:hAnsi="Times New Roman" w:cs="Times New Roman"/>
          <w:sz w:val="24"/>
          <w:szCs w:val="24"/>
        </w:rPr>
        <w:t xml:space="preserve">.  She issued three monitoring reports on September 5 and December 30, 2023, and August 1, 2024.  The Monitor found Defendants in substantial compliance with </w:t>
      </w:r>
      <w:r w:rsidR="00B52B95" w:rsidRPr="006E30E2">
        <w:rPr>
          <w:rFonts w:ascii="Times New Roman" w:hAnsi="Times New Roman" w:cs="Times New Roman"/>
          <w:sz w:val="24"/>
          <w:szCs w:val="24"/>
        </w:rPr>
        <w:t>several</w:t>
      </w:r>
      <w:r w:rsidRPr="006E30E2">
        <w:rPr>
          <w:rFonts w:ascii="Times New Roman" w:hAnsi="Times New Roman" w:cs="Times New Roman"/>
          <w:sz w:val="24"/>
          <w:szCs w:val="24"/>
        </w:rPr>
        <w:t xml:space="preserve"> provisions of the SACD.  </w:t>
      </w:r>
    </w:p>
    <w:p w14:paraId="63E05FA8" w14:textId="3C926632" w:rsidR="00B335A8" w:rsidRPr="006E30E2" w:rsidRDefault="00B335A8" w:rsidP="00B335A8">
      <w:pPr>
        <w:rPr>
          <w:rFonts w:ascii="Times New Roman" w:hAnsi="Times New Roman" w:cs="Times New Roman"/>
          <w:sz w:val="24"/>
          <w:szCs w:val="24"/>
        </w:rPr>
      </w:pPr>
      <w:bookmarkStart w:id="0" w:name="_Hlk189129042"/>
      <w:r w:rsidRPr="006E30E2">
        <w:rPr>
          <w:rFonts w:ascii="Times New Roman" w:hAnsi="Times New Roman" w:cs="Times New Roman"/>
          <w:sz w:val="24"/>
          <w:szCs w:val="24"/>
        </w:rPr>
        <w:t xml:space="preserve">On January 2, 2025, the Parties filed a Stipulation and Proposed Order Regarding Extension of the SACD and Monitoring Compliance </w:t>
      </w:r>
      <w:r w:rsidR="00E32A86" w:rsidRPr="006E30E2">
        <w:rPr>
          <w:rFonts w:ascii="Times New Roman" w:hAnsi="Times New Roman" w:cs="Times New Roman"/>
          <w:sz w:val="24"/>
          <w:szCs w:val="24"/>
        </w:rPr>
        <w:t xml:space="preserve">with the SACD and attaching </w:t>
      </w:r>
      <w:r w:rsidRPr="006E30E2">
        <w:rPr>
          <w:rFonts w:ascii="Times New Roman" w:hAnsi="Times New Roman" w:cs="Times New Roman"/>
          <w:sz w:val="24"/>
          <w:szCs w:val="24"/>
        </w:rPr>
        <w:t>Exhibits (Revised Exhibit A</w:t>
      </w:r>
      <w:r w:rsidR="00E32A86" w:rsidRPr="006E30E2">
        <w:rPr>
          <w:rFonts w:ascii="Times New Roman" w:hAnsi="Times New Roman" w:cs="Times New Roman"/>
          <w:sz w:val="24"/>
          <w:szCs w:val="24"/>
        </w:rPr>
        <w:t>,</w:t>
      </w:r>
      <w:r w:rsidRPr="006E30E2">
        <w:rPr>
          <w:rFonts w:ascii="Times New Roman" w:hAnsi="Times New Roman" w:cs="Times New Roman"/>
          <w:sz w:val="24"/>
          <w:szCs w:val="24"/>
        </w:rPr>
        <w:t xml:space="preserve"> Exhibit B</w:t>
      </w:r>
      <w:r w:rsidR="00E32A86" w:rsidRPr="006E30E2">
        <w:rPr>
          <w:rFonts w:ascii="Times New Roman" w:hAnsi="Times New Roman" w:cs="Times New Roman"/>
          <w:sz w:val="24"/>
          <w:szCs w:val="24"/>
        </w:rPr>
        <w:t xml:space="preserve"> and Attachment 1</w:t>
      </w:r>
      <w:r w:rsidRPr="006E30E2">
        <w:rPr>
          <w:rFonts w:ascii="Times New Roman" w:hAnsi="Times New Roman" w:cs="Times New Roman"/>
          <w:sz w:val="24"/>
          <w:szCs w:val="24"/>
        </w:rPr>
        <w:t xml:space="preserve">).  </w:t>
      </w:r>
      <w:r w:rsidR="00A01084" w:rsidRPr="006E30E2">
        <w:rPr>
          <w:rFonts w:ascii="Times New Roman" w:hAnsi="Times New Roman" w:cs="Times New Roman"/>
          <w:sz w:val="24"/>
          <w:szCs w:val="24"/>
        </w:rPr>
        <w:t xml:space="preserve">In general, the Parties agreed to </w:t>
      </w:r>
      <w:r w:rsidR="00BB4E1D" w:rsidRPr="006E30E2">
        <w:rPr>
          <w:rFonts w:ascii="Times New Roman" w:hAnsi="Times New Roman" w:cs="Times New Roman"/>
          <w:sz w:val="24"/>
          <w:szCs w:val="24"/>
        </w:rPr>
        <w:t>narrow</w:t>
      </w:r>
      <w:r w:rsidR="00A01084" w:rsidRPr="006E30E2">
        <w:rPr>
          <w:rFonts w:ascii="Times New Roman" w:hAnsi="Times New Roman" w:cs="Times New Roman"/>
          <w:sz w:val="24"/>
          <w:szCs w:val="24"/>
        </w:rPr>
        <w:t xml:space="preserve"> </w:t>
      </w:r>
      <w:r w:rsidR="000C3067" w:rsidRPr="006E30E2">
        <w:rPr>
          <w:rFonts w:ascii="Times New Roman" w:hAnsi="Times New Roman" w:cs="Times New Roman"/>
          <w:sz w:val="24"/>
          <w:szCs w:val="24"/>
        </w:rPr>
        <w:t xml:space="preserve">the </w:t>
      </w:r>
      <w:r w:rsidR="00B64C87" w:rsidRPr="006E30E2">
        <w:rPr>
          <w:rFonts w:ascii="Times New Roman" w:hAnsi="Times New Roman" w:cs="Times New Roman"/>
          <w:sz w:val="24"/>
          <w:szCs w:val="24"/>
        </w:rPr>
        <w:t xml:space="preserve">scope of </w:t>
      </w:r>
      <w:r w:rsidR="00A01084" w:rsidRPr="006E30E2">
        <w:rPr>
          <w:rFonts w:ascii="Times New Roman" w:hAnsi="Times New Roman" w:cs="Times New Roman"/>
          <w:sz w:val="24"/>
          <w:szCs w:val="24"/>
        </w:rPr>
        <w:t>monitoring</w:t>
      </w:r>
      <w:r w:rsidR="00BB4E1D" w:rsidRPr="006E30E2">
        <w:rPr>
          <w:rFonts w:ascii="Times New Roman" w:hAnsi="Times New Roman" w:cs="Times New Roman"/>
          <w:sz w:val="24"/>
          <w:szCs w:val="24"/>
        </w:rPr>
        <w:t xml:space="preserve"> compliance</w:t>
      </w:r>
      <w:r w:rsidR="00A01084" w:rsidRPr="006E30E2">
        <w:rPr>
          <w:rFonts w:ascii="Times New Roman" w:hAnsi="Times New Roman" w:cs="Times New Roman"/>
          <w:sz w:val="24"/>
          <w:szCs w:val="24"/>
        </w:rPr>
        <w:t xml:space="preserve"> </w:t>
      </w:r>
      <w:r w:rsidR="00477737" w:rsidRPr="006E30E2">
        <w:rPr>
          <w:rFonts w:ascii="Times New Roman" w:hAnsi="Times New Roman" w:cs="Times New Roman"/>
          <w:sz w:val="24"/>
          <w:szCs w:val="24"/>
        </w:rPr>
        <w:t>to</w:t>
      </w:r>
      <w:r w:rsidR="000C3067" w:rsidRPr="006E30E2">
        <w:rPr>
          <w:rFonts w:ascii="Times New Roman" w:hAnsi="Times New Roman" w:cs="Times New Roman"/>
          <w:sz w:val="24"/>
          <w:szCs w:val="24"/>
        </w:rPr>
        <w:t xml:space="preserve"> those</w:t>
      </w:r>
      <w:r w:rsidR="00A91142" w:rsidRPr="006E30E2">
        <w:rPr>
          <w:rFonts w:ascii="Times New Roman" w:hAnsi="Times New Roman" w:cs="Times New Roman"/>
          <w:sz w:val="24"/>
          <w:szCs w:val="24"/>
        </w:rPr>
        <w:t xml:space="preserve"> </w:t>
      </w:r>
      <w:r w:rsidR="00BB4E1D" w:rsidRPr="006E30E2">
        <w:rPr>
          <w:rFonts w:ascii="Times New Roman" w:hAnsi="Times New Roman" w:cs="Times New Roman"/>
          <w:sz w:val="24"/>
          <w:szCs w:val="24"/>
        </w:rPr>
        <w:t xml:space="preserve">SACD </w:t>
      </w:r>
      <w:r w:rsidR="00A01084" w:rsidRPr="006E30E2">
        <w:rPr>
          <w:rFonts w:ascii="Times New Roman" w:hAnsi="Times New Roman" w:cs="Times New Roman"/>
          <w:sz w:val="24"/>
          <w:szCs w:val="24"/>
        </w:rPr>
        <w:t xml:space="preserve">provisions </w:t>
      </w:r>
      <w:r w:rsidR="00B64C87" w:rsidRPr="006E30E2">
        <w:rPr>
          <w:rFonts w:ascii="Times New Roman" w:hAnsi="Times New Roman" w:cs="Times New Roman"/>
          <w:sz w:val="24"/>
          <w:szCs w:val="24"/>
        </w:rPr>
        <w:t xml:space="preserve">the Monitor found </w:t>
      </w:r>
      <w:r w:rsidR="00A01084" w:rsidRPr="006E30E2">
        <w:rPr>
          <w:rFonts w:ascii="Times New Roman" w:hAnsi="Times New Roman" w:cs="Times New Roman"/>
          <w:sz w:val="24"/>
          <w:szCs w:val="24"/>
        </w:rPr>
        <w:t>Defendants were</w:t>
      </w:r>
      <w:r w:rsidR="000C3067" w:rsidRPr="006E30E2">
        <w:rPr>
          <w:rFonts w:ascii="Times New Roman" w:hAnsi="Times New Roman" w:cs="Times New Roman"/>
          <w:sz w:val="24"/>
          <w:szCs w:val="24"/>
        </w:rPr>
        <w:t xml:space="preserve"> </w:t>
      </w:r>
      <w:r w:rsidR="00BB4E1D" w:rsidRPr="006E30E2">
        <w:rPr>
          <w:rFonts w:ascii="Times New Roman" w:hAnsi="Times New Roman" w:cs="Times New Roman"/>
          <w:sz w:val="24"/>
          <w:szCs w:val="24"/>
        </w:rPr>
        <w:t>not in substantial compliance</w:t>
      </w:r>
      <w:r w:rsidR="000C3067" w:rsidRPr="006E30E2">
        <w:rPr>
          <w:rFonts w:ascii="Times New Roman" w:hAnsi="Times New Roman" w:cs="Times New Roman"/>
          <w:sz w:val="24"/>
          <w:szCs w:val="24"/>
        </w:rPr>
        <w:t xml:space="preserve"> as </w:t>
      </w:r>
      <w:r w:rsidR="00B64C87" w:rsidRPr="006E30E2">
        <w:rPr>
          <w:rFonts w:ascii="Times New Roman" w:hAnsi="Times New Roman" w:cs="Times New Roman"/>
          <w:sz w:val="24"/>
          <w:szCs w:val="24"/>
        </w:rPr>
        <w:t xml:space="preserve">reflected </w:t>
      </w:r>
      <w:r w:rsidR="000C3067" w:rsidRPr="006E30E2">
        <w:rPr>
          <w:rFonts w:ascii="Times New Roman" w:hAnsi="Times New Roman" w:cs="Times New Roman"/>
          <w:sz w:val="24"/>
          <w:szCs w:val="24"/>
        </w:rPr>
        <w:t>in the monitoring reports</w:t>
      </w:r>
      <w:r w:rsidR="00A01084" w:rsidRPr="006E30E2">
        <w:rPr>
          <w:rFonts w:ascii="Times New Roman" w:hAnsi="Times New Roman" w:cs="Times New Roman"/>
          <w:sz w:val="24"/>
          <w:szCs w:val="24"/>
        </w:rPr>
        <w:t xml:space="preserve">.  </w:t>
      </w:r>
      <w:r w:rsidR="00BB4E1D" w:rsidRPr="006E30E2">
        <w:rPr>
          <w:rFonts w:ascii="Times New Roman" w:hAnsi="Times New Roman" w:cs="Times New Roman"/>
          <w:sz w:val="24"/>
          <w:szCs w:val="24"/>
        </w:rPr>
        <w:t>O</w:t>
      </w:r>
      <w:r w:rsidRPr="006E30E2">
        <w:rPr>
          <w:rFonts w:ascii="Times New Roman" w:hAnsi="Times New Roman" w:cs="Times New Roman"/>
          <w:sz w:val="24"/>
          <w:szCs w:val="24"/>
        </w:rPr>
        <w:t>n January 13, 2025, United States Magistrate Judge Edmund F. Brennan issued an Order approving the Parties</w:t>
      </w:r>
      <w:r w:rsidR="00385D77" w:rsidRPr="006E30E2">
        <w:rPr>
          <w:rFonts w:ascii="Times New Roman" w:hAnsi="Times New Roman" w:cs="Times New Roman"/>
          <w:sz w:val="24"/>
          <w:szCs w:val="24"/>
        </w:rPr>
        <w:t>’</w:t>
      </w:r>
      <w:r w:rsidRPr="006E30E2">
        <w:rPr>
          <w:rFonts w:ascii="Times New Roman" w:hAnsi="Times New Roman" w:cs="Times New Roman"/>
          <w:sz w:val="24"/>
          <w:szCs w:val="24"/>
        </w:rPr>
        <w:t xml:space="preserve"> Stipulation and extended the</w:t>
      </w:r>
      <w:r w:rsidR="00B52B95" w:rsidRPr="006E30E2">
        <w:rPr>
          <w:rFonts w:ascii="Times New Roman" w:hAnsi="Times New Roman" w:cs="Times New Roman"/>
          <w:sz w:val="24"/>
          <w:szCs w:val="24"/>
        </w:rPr>
        <w:t xml:space="preserve"> SACD</w:t>
      </w:r>
      <w:r w:rsidRPr="006E30E2">
        <w:rPr>
          <w:rFonts w:ascii="Times New Roman" w:hAnsi="Times New Roman" w:cs="Times New Roman"/>
          <w:sz w:val="24"/>
          <w:szCs w:val="24"/>
        </w:rPr>
        <w:t xml:space="preserve"> to July 31, 2026.       </w:t>
      </w:r>
    </w:p>
    <w:bookmarkEnd w:id="0"/>
    <w:p w14:paraId="0DC03011" w14:textId="5ED0F9D7" w:rsidR="009B4665" w:rsidRPr="006E30E2" w:rsidRDefault="005F1AB1" w:rsidP="004C22FF">
      <w:pPr>
        <w:rPr>
          <w:rFonts w:ascii="Times New Roman" w:hAnsi="Times New Roman" w:cs="Times New Roman"/>
          <w:sz w:val="24"/>
          <w:szCs w:val="24"/>
        </w:rPr>
      </w:pPr>
      <w:r w:rsidRPr="006E30E2">
        <w:rPr>
          <w:rFonts w:ascii="Times New Roman" w:hAnsi="Times New Roman" w:cs="Times New Roman"/>
          <w:sz w:val="24"/>
          <w:szCs w:val="24"/>
        </w:rPr>
        <w:t xml:space="preserve">On </w:t>
      </w:r>
      <w:r w:rsidR="00A97DD1" w:rsidRPr="006E30E2">
        <w:rPr>
          <w:rFonts w:ascii="Times New Roman" w:hAnsi="Times New Roman" w:cs="Times New Roman"/>
          <w:sz w:val="24"/>
          <w:szCs w:val="24"/>
        </w:rPr>
        <w:t>May 15, 2026, t</w:t>
      </w:r>
      <w:r w:rsidR="003F41C8" w:rsidRPr="006E30E2">
        <w:rPr>
          <w:rFonts w:ascii="Times New Roman" w:hAnsi="Times New Roman" w:cs="Times New Roman"/>
          <w:sz w:val="24"/>
          <w:szCs w:val="24"/>
        </w:rPr>
        <w:t xml:space="preserve">he Monitor </w:t>
      </w:r>
      <w:r w:rsidR="00A97DD1" w:rsidRPr="006E30E2">
        <w:rPr>
          <w:rFonts w:ascii="Times New Roman" w:hAnsi="Times New Roman" w:cs="Times New Roman"/>
          <w:sz w:val="24"/>
          <w:szCs w:val="24"/>
        </w:rPr>
        <w:t xml:space="preserve">issued </w:t>
      </w:r>
      <w:r w:rsidR="00B15EF3" w:rsidRPr="006E30E2">
        <w:rPr>
          <w:rFonts w:ascii="Times New Roman" w:hAnsi="Times New Roman" w:cs="Times New Roman"/>
          <w:sz w:val="24"/>
          <w:szCs w:val="24"/>
        </w:rPr>
        <w:t>the 7</w:t>
      </w:r>
      <w:r w:rsidR="00B15EF3" w:rsidRPr="006E30E2">
        <w:rPr>
          <w:rFonts w:ascii="Times New Roman" w:hAnsi="Times New Roman" w:cs="Times New Roman"/>
          <w:sz w:val="24"/>
          <w:szCs w:val="24"/>
          <w:vertAlign w:val="superscript"/>
        </w:rPr>
        <w:t>th</w:t>
      </w:r>
      <w:r w:rsidR="00B15EF3" w:rsidRPr="006E30E2">
        <w:rPr>
          <w:rFonts w:ascii="Times New Roman" w:hAnsi="Times New Roman" w:cs="Times New Roman"/>
          <w:sz w:val="24"/>
          <w:szCs w:val="24"/>
        </w:rPr>
        <w:t xml:space="preserve"> report </w:t>
      </w:r>
      <w:r w:rsidR="003F41C8" w:rsidRPr="006E30E2">
        <w:rPr>
          <w:rFonts w:ascii="Times New Roman" w:hAnsi="Times New Roman" w:cs="Times New Roman"/>
          <w:sz w:val="24"/>
          <w:szCs w:val="24"/>
        </w:rPr>
        <w:t>f</w:t>
      </w:r>
      <w:r w:rsidR="00B15EF3" w:rsidRPr="006E30E2">
        <w:rPr>
          <w:rFonts w:ascii="Times New Roman" w:hAnsi="Times New Roman" w:cs="Times New Roman"/>
          <w:sz w:val="24"/>
          <w:szCs w:val="24"/>
        </w:rPr>
        <w:t>inding</w:t>
      </w:r>
      <w:r w:rsidR="003F41C8" w:rsidRPr="006E30E2">
        <w:rPr>
          <w:rFonts w:ascii="Times New Roman" w:hAnsi="Times New Roman" w:cs="Times New Roman"/>
          <w:sz w:val="24"/>
          <w:szCs w:val="24"/>
        </w:rPr>
        <w:t xml:space="preserve"> the </w:t>
      </w:r>
      <w:r w:rsidR="007C45FA" w:rsidRPr="006E30E2">
        <w:rPr>
          <w:rFonts w:ascii="Times New Roman" w:hAnsi="Times New Roman" w:cs="Times New Roman"/>
          <w:sz w:val="24"/>
          <w:szCs w:val="24"/>
        </w:rPr>
        <w:t xml:space="preserve">County substantially compliant with </w:t>
      </w:r>
      <w:r w:rsidR="00C61206" w:rsidRPr="006E30E2">
        <w:rPr>
          <w:rFonts w:ascii="Times New Roman" w:hAnsi="Times New Roman" w:cs="Times New Roman"/>
          <w:sz w:val="24"/>
          <w:szCs w:val="24"/>
        </w:rPr>
        <w:t>nearly</w:t>
      </w:r>
      <w:r w:rsidR="007C45FA" w:rsidRPr="006E30E2">
        <w:rPr>
          <w:rFonts w:ascii="Times New Roman" w:hAnsi="Times New Roman" w:cs="Times New Roman"/>
          <w:sz w:val="24"/>
          <w:szCs w:val="24"/>
        </w:rPr>
        <w:t xml:space="preserve"> 80 percent of the SACD provisions</w:t>
      </w:r>
      <w:r w:rsidR="0000458F" w:rsidRPr="006E30E2">
        <w:rPr>
          <w:rFonts w:ascii="Times New Roman" w:hAnsi="Times New Roman" w:cs="Times New Roman"/>
          <w:sz w:val="24"/>
          <w:szCs w:val="24"/>
        </w:rPr>
        <w:t>, which</w:t>
      </w:r>
      <w:r w:rsidR="007D2EF1" w:rsidRPr="006E30E2">
        <w:rPr>
          <w:rFonts w:ascii="Times New Roman" w:hAnsi="Times New Roman" w:cs="Times New Roman"/>
          <w:sz w:val="24"/>
          <w:szCs w:val="24"/>
        </w:rPr>
        <w:t xml:space="preserve"> covered the </w:t>
      </w:r>
      <w:r w:rsidR="0000458F" w:rsidRPr="006E30E2">
        <w:rPr>
          <w:rFonts w:ascii="Times New Roman" w:hAnsi="Times New Roman" w:cs="Times New Roman"/>
          <w:sz w:val="24"/>
          <w:szCs w:val="24"/>
        </w:rPr>
        <w:t xml:space="preserve">2025 </w:t>
      </w:r>
      <w:r w:rsidR="007D2EF1" w:rsidRPr="006E30E2">
        <w:rPr>
          <w:rFonts w:ascii="Times New Roman" w:hAnsi="Times New Roman" w:cs="Times New Roman"/>
          <w:sz w:val="24"/>
          <w:szCs w:val="24"/>
        </w:rPr>
        <w:t xml:space="preserve">fourth quarter </w:t>
      </w:r>
      <w:r w:rsidR="0000458F" w:rsidRPr="006E30E2">
        <w:rPr>
          <w:rFonts w:ascii="Times New Roman" w:hAnsi="Times New Roman" w:cs="Times New Roman"/>
          <w:sz w:val="24"/>
          <w:szCs w:val="24"/>
        </w:rPr>
        <w:t xml:space="preserve">production </w:t>
      </w:r>
      <w:r w:rsidR="007D2EF1" w:rsidRPr="006E30E2">
        <w:rPr>
          <w:rFonts w:ascii="Times New Roman" w:hAnsi="Times New Roman" w:cs="Times New Roman"/>
          <w:sz w:val="24"/>
          <w:szCs w:val="24"/>
        </w:rPr>
        <w:t xml:space="preserve">and the February 2026 Jail </w:t>
      </w:r>
      <w:r w:rsidR="009017E2" w:rsidRPr="006E30E2">
        <w:rPr>
          <w:rFonts w:ascii="Times New Roman" w:hAnsi="Times New Roman" w:cs="Times New Roman"/>
          <w:sz w:val="24"/>
          <w:szCs w:val="24"/>
        </w:rPr>
        <w:t xml:space="preserve">monitoring </w:t>
      </w:r>
      <w:r w:rsidR="007D2EF1" w:rsidRPr="006E30E2">
        <w:rPr>
          <w:rFonts w:ascii="Times New Roman" w:hAnsi="Times New Roman" w:cs="Times New Roman"/>
          <w:sz w:val="24"/>
          <w:szCs w:val="24"/>
        </w:rPr>
        <w:t xml:space="preserve">tour.  </w:t>
      </w:r>
      <w:r w:rsidR="00A644DD" w:rsidRPr="006E30E2">
        <w:rPr>
          <w:rFonts w:ascii="Times New Roman" w:hAnsi="Times New Roman" w:cs="Times New Roman"/>
          <w:sz w:val="24"/>
          <w:szCs w:val="24"/>
        </w:rPr>
        <w:t xml:space="preserve">The Monitor noted </w:t>
      </w:r>
      <w:r w:rsidR="00C26583" w:rsidRPr="006E30E2">
        <w:rPr>
          <w:rFonts w:ascii="Times New Roman" w:hAnsi="Times New Roman" w:cs="Times New Roman"/>
          <w:sz w:val="24"/>
          <w:szCs w:val="24"/>
        </w:rPr>
        <w:t xml:space="preserve">in the report </w:t>
      </w:r>
      <w:r w:rsidR="00A644DD" w:rsidRPr="006E30E2">
        <w:rPr>
          <w:rFonts w:ascii="Times New Roman" w:hAnsi="Times New Roman" w:cs="Times New Roman"/>
          <w:sz w:val="24"/>
          <w:szCs w:val="24"/>
        </w:rPr>
        <w:t>significant improvement in</w:t>
      </w:r>
      <w:r w:rsidR="00E37229" w:rsidRPr="006E30E2">
        <w:rPr>
          <w:rFonts w:ascii="Times New Roman" w:hAnsi="Times New Roman" w:cs="Times New Roman"/>
          <w:sz w:val="24"/>
          <w:szCs w:val="24"/>
        </w:rPr>
        <w:t xml:space="preserve"> several areas</w:t>
      </w:r>
      <w:r w:rsidR="00E96E9B" w:rsidRPr="006E30E2">
        <w:rPr>
          <w:rFonts w:ascii="Times New Roman" w:hAnsi="Times New Roman" w:cs="Times New Roman"/>
          <w:sz w:val="24"/>
          <w:szCs w:val="24"/>
        </w:rPr>
        <w:t xml:space="preserve"> and</w:t>
      </w:r>
      <w:r w:rsidR="00170B62" w:rsidRPr="006E30E2">
        <w:rPr>
          <w:rFonts w:ascii="Times New Roman" w:hAnsi="Times New Roman" w:cs="Times New Roman"/>
          <w:sz w:val="24"/>
          <w:szCs w:val="24"/>
        </w:rPr>
        <w:t xml:space="preserve"> found</w:t>
      </w:r>
      <w:r w:rsidR="00E96E9B" w:rsidRPr="006E30E2">
        <w:rPr>
          <w:rFonts w:ascii="Times New Roman" w:hAnsi="Times New Roman" w:cs="Times New Roman"/>
          <w:sz w:val="24"/>
          <w:szCs w:val="24"/>
        </w:rPr>
        <w:t xml:space="preserve"> the Jail “continues to </w:t>
      </w:r>
      <w:r w:rsidR="00973EE9" w:rsidRPr="006E30E2">
        <w:rPr>
          <w:rFonts w:ascii="Times New Roman" w:hAnsi="Times New Roman" w:cs="Times New Roman"/>
          <w:sz w:val="24"/>
          <w:szCs w:val="24"/>
        </w:rPr>
        <w:t>demonstrate measurable progress in key areas of healthcare delivery, particularly following the recent change in healthcare provider</w:t>
      </w:r>
      <w:r w:rsidR="00A644DD" w:rsidRPr="006E30E2">
        <w:rPr>
          <w:rFonts w:ascii="Times New Roman" w:hAnsi="Times New Roman" w:cs="Times New Roman"/>
          <w:sz w:val="24"/>
          <w:szCs w:val="24"/>
        </w:rPr>
        <w:t>.</w:t>
      </w:r>
      <w:r w:rsidR="00973EE9" w:rsidRPr="006E30E2">
        <w:rPr>
          <w:rFonts w:ascii="Times New Roman" w:hAnsi="Times New Roman" w:cs="Times New Roman"/>
          <w:sz w:val="24"/>
          <w:szCs w:val="24"/>
        </w:rPr>
        <w:t>”</w:t>
      </w:r>
      <w:r w:rsidR="00A644DD" w:rsidRPr="006E30E2">
        <w:rPr>
          <w:rFonts w:ascii="Times New Roman" w:hAnsi="Times New Roman" w:cs="Times New Roman"/>
          <w:sz w:val="24"/>
          <w:szCs w:val="24"/>
        </w:rPr>
        <w:t xml:space="preserve">  </w:t>
      </w:r>
    </w:p>
    <w:p w14:paraId="1F4B5C3B" w14:textId="6B0AD513" w:rsidR="00D753F2" w:rsidRPr="006E30E2" w:rsidRDefault="005F1AB1" w:rsidP="004C22FF">
      <w:pPr>
        <w:rPr>
          <w:rFonts w:ascii="Times New Roman" w:hAnsi="Times New Roman" w:cs="Times New Roman"/>
          <w:sz w:val="24"/>
          <w:szCs w:val="24"/>
        </w:rPr>
      </w:pPr>
      <w:r w:rsidRPr="00D6001E">
        <w:rPr>
          <w:rFonts w:ascii="Times New Roman" w:hAnsi="Times New Roman" w:cs="Times New Roman"/>
          <w:sz w:val="24"/>
          <w:szCs w:val="24"/>
        </w:rPr>
        <w:t xml:space="preserve">On May 27, 2026, United States Magistrate Judge Edmund F. Brennan issued an Order approving the Parties’ Stipulation Extending the SACD </w:t>
      </w:r>
      <w:r w:rsidR="002125C2" w:rsidRPr="00D6001E">
        <w:rPr>
          <w:rFonts w:ascii="Times New Roman" w:hAnsi="Times New Roman" w:cs="Times New Roman"/>
          <w:sz w:val="24"/>
          <w:szCs w:val="24"/>
        </w:rPr>
        <w:t>7 months,</w:t>
      </w:r>
      <w:r w:rsidR="007658ED" w:rsidRPr="00D6001E">
        <w:rPr>
          <w:rFonts w:ascii="Times New Roman" w:hAnsi="Times New Roman" w:cs="Times New Roman"/>
          <w:sz w:val="24"/>
          <w:szCs w:val="24"/>
        </w:rPr>
        <w:t xml:space="preserve"> </w:t>
      </w:r>
      <w:r w:rsidRPr="00D6001E">
        <w:rPr>
          <w:rFonts w:ascii="Times New Roman" w:hAnsi="Times New Roman" w:cs="Times New Roman"/>
          <w:sz w:val="24"/>
          <w:szCs w:val="24"/>
        </w:rPr>
        <w:t>until March 1, 2027.</w:t>
      </w:r>
      <w:r w:rsidR="002125C2" w:rsidRPr="00D6001E">
        <w:rPr>
          <w:rFonts w:ascii="Times New Roman" w:hAnsi="Times New Roman" w:cs="Times New Roman"/>
          <w:sz w:val="24"/>
          <w:szCs w:val="24"/>
        </w:rPr>
        <w:t xml:space="preserve">  Th</w:t>
      </w:r>
      <w:r w:rsidR="004D2306" w:rsidRPr="00D6001E">
        <w:rPr>
          <w:rFonts w:ascii="Times New Roman" w:hAnsi="Times New Roman" w:cs="Times New Roman"/>
          <w:sz w:val="24"/>
          <w:szCs w:val="24"/>
        </w:rPr>
        <w:t>e</w:t>
      </w:r>
      <w:r w:rsidR="002125C2" w:rsidRPr="00D6001E">
        <w:rPr>
          <w:rFonts w:ascii="Times New Roman" w:hAnsi="Times New Roman" w:cs="Times New Roman"/>
          <w:sz w:val="24"/>
          <w:szCs w:val="24"/>
        </w:rPr>
        <w:t xml:space="preserve"> </w:t>
      </w:r>
      <w:r w:rsidR="004D2306" w:rsidRPr="00D6001E">
        <w:rPr>
          <w:rFonts w:ascii="Times New Roman" w:hAnsi="Times New Roman" w:cs="Times New Roman"/>
          <w:sz w:val="24"/>
          <w:szCs w:val="24"/>
        </w:rPr>
        <w:t xml:space="preserve">extension </w:t>
      </w:r>
      <w:r w:rsidR="00DB523A" w:rsidRPr="00D6001E">
        <w:rPr>
          <w:rFonts w:ascii="Times New Roman" w:hAnsi="Times New Roman" w:cs="Times New Roman"/>
          <w:sz w:val="24"/>
          <w:szCs w:val="24"/>
        </w:rPr>
        <w:t>provide</w:t>
      </w:r>
      <w:r w:rsidR="009017E2" w:rsidRPr="00D6001E">
        <w:rPr>
          <w:rFonts w:ascii="Times New Roman" w:hAnsi="Times New Roman" w:cs="Times New Roman"/>
          <w:sz w:val="24"/>
          <w:szCs w:val="24"/>
        </w:rPr>
        <w:t>s</w:t>
      </w:r>
      <w:r w:rsidR="00DB523A" w:rsidRPr="00D6001E">
        <w:rPr>
          <w:rFonts w:ascii="Times New Roman" w:hAnsi="Times New Roman" w:cs="Times New Roman"/>
          <w:sz w:val="24"/>
          <w:szCs w:val="24"/>
        </w:rPr>
        <w:t xml:space="preserve"> </w:t>
      </w:r>
      <w:r w:rsidR="009017E2" w:rsidRPr="00D6001E">
        <w:rPr>
          <w:rFonts w:ascii="Times New Roman" w:hAnsi="Times New Roman" w:cs="Times New Roman"/>
          <w:sz w:val="24"/>
          <w:szCs w:val="24"/>
        </w:rPr>
        <w:t xml:space="preserve">the </w:t>
      </w:r>
      <w:r w:rsidR="00DB523A" w:rsidRPr="00D6001E">
        <w:rPr>
          <w:rFonts w:ascii="Times New Roman" w:hAnsi="Times New Roman" w:cs="Times New Roman"/>
          <w:sz w:val="24"/>
          <w:szCs w:val="24"/>
        </w:rPr>
        <w:t xml:space="preserve">Monitor with three more quarters of </w:t>
      </w:r>
      <w:r w:rsidR="00D675D5" w:rsidRPr="00D6001E">
        <w:rPr>
          <w:rFonts w:ascii="Times New Roman" w:hAnsi="Times New Roman" w:cs="Times New Roman"/>
          <w:sz w:val="24"/>
          <w:szCs w:val="24"/>
        </w:rPr>
        <w:t xml:space="preserve">document </w:t>
      </w:r>
      <w:r w:rsidR="00DB523A" w:rsidRPr="00D6001E">
        <w:rPr>
          <w:rFonts w:ascii="Times New Roman" w:hAnsi="Times New Roman" w:cs="Times New Roman"/>
          <w:sz w:val="24"/>
          <w:szCs w:val="24"/>
        </w:rPr>
        <w:t>production and</w:t>
      </w:r>
      <w:r w:rsidR="009017E2" w:rsidRPr="00D6001E">
        <w:rPr>
          <w:rFonts w:ascii="Times New Roman" w:hAnsi="Times New Roman" w:cs="Times New Roman"/>
          <w:sz w:val="24"/>
          <w:szCs w:val="24"/>
        </w:rPr>
        <w:t xml:space="preserve"> two more Jail monitor tours and </w:t>
      </w:r>
      <w:r w:rsidR="006E30E2" w:rsidRPr="00D6001E">
        <w:rPr>
          <w:rFonts w:ascii="Times New Roman" w:hAnsi="Times New Roman" w:cs="Times New Roman"/>
          <w:sz w:val="24"/>
          <w:szCs w:val="24"/>
        </w:rPr>
        <w:t xml:space="preserve">the </w:t>
      </w:r>
      <w:r w:rsidR="009017E2" w:rsidRPr="00D6001E">
        <w:rPr>
          <w:rFonts w:ascii="Times New Roman" w:hAnsi="Times New Roman" w:cs="Times New Roman"/>
          <w:sz w:val="24"/>
          <w:szCs w:val="24"/>
        </w:rPr>
        <w:t xml:space="preserve">Defendants </w:t>
      </w:r>
      <w:r w:rsidR="006E30E2" w:rsidRPr="00D6001E">
        <w:rPr>
          <w:rFonts w:ascii="Times New Roman" w:hAnsi="Times New Roman" w:cs="Times New Roman"/>
          <w:sz w:val="24"/>
          <w:szCs w:val="24"/>
        </w:rPr>
        <w:t xml:space="preserve">with </w:t>
      </w:r>
      <w:r w:rsidR="009017E2" w:rsidRPr="00D6001E">
        <w:rPr>
          <w:rFonts w:ascii="Times New Roman" w:hAnsi="Times New Roman" w:cs="Times New Roman"/>
          <w:sz w:val="24"/>
          <w:szCs w:val="24"/>
        </w:rPr>
        <w:t xml:space="preserve">the opportunity to establish </w:t>
      </w:r>
      <w:r w:rsidR="00D44797" w:rsidRPr="00D6001E">
        <w:rPr>
          <w:rFonts w:ascii="Times New Roman" w:hAnsi="Times New Roman" w:cs="Times New Roman"/>
          <w:sz w:val="24"/>
          <w:szCs w:val="24"/>
        </w:rPr>
        <w:t>sustained</w:t>
      </w:r>
      <w:r w:rsidR="009017E2" w:rsidRPr="00D6001E">
        <w:rPr>
          <w:rFonts w:ascii="Times New Roman" w:hAnsi="Times New Roman" w:cs="Times New Roman"/>
          <w:sz w:val="24"/>
          <w:szCs w:val="24"/>
        </w:rPr>
        <w:t xml:space="preserve"> substantial compliance</w:t>
      </w:r>
      <w:r w:rsidR="00CE02DF" w:rsidRPr="00D6001E">
        <w:rPr>
          <w:rFonts w:ascii="Times New Roman" w:hAnsi="Times New Roman" w:cs="Times New Roman"/>
          <w:sz w:val="24"/>
          <w:szCs w:val="24"/>
        </w:rPr>
        <w:t xml:space="preserve"> with the SACD</w:t>
      </w:r>
      <w:r w:rsidR="009017E2" w:rsidRPr="00D6001E">
        <w:rPr>
          <w:rFonts w:ascii="Times New Roman" w:hAnsi="Times New Roman" w:cs="Times New Roman"/>
          <w:sz w:val="24"/>
          <w:szCs w:val="24"/>
        </w:rPr>
        <w:t>.</w:t>
      </w:r>
      <w:r w:rsidRPr="006E30E2">
        <w:rPr>
          <w:rFonts w:ascii="Times New Roman" w:hAnsi="Times New Roman" w:cs="Times New Roman"/>
          <w:sz w:val="24"/>
          <w:szCs w:val="24"/>
        </w:rPr>
        <w:t xml:space="preserve">    </w:t>
      </w:r>
    </w:p>
    <w:p w14:paraId="63E05FA9" w14:textId="3D28BBE5" w:rsidR="004C22FF" w:rsidRPr="006E30E2" w:rsidRDefault="00B335A8" w:rsidP="004C22FF">
      <w:pPr>
        <w:rPr>
          <w:rFonts w:ascii="Times New Roman" w:hAnsi="Times New Roman" w:cs="Times New Roman"/>
          <w:sz w:val="24"/>
          <w:szCs w:val="24"/>
        </w:rPr>
      </w:pPr>
      <w:r w:rsidRPr="006E30E2">
        <w:rPr>
          <w:rFonts w:ascii="Times New Roman" w:hAnsi="Times New Roman" w:cs="Times New Roman"/>
          <w:sz w:val="24"/>
          <w:szCs w:val="24"/>
        </w:rPr>
        <w:t>Copies of the Second Amended Consent Decree</w:t>
      </w:r>
      <w:r w:rsidR="00CC243B" w:rsidRPr="006E30E2">
        <w:rPr>
          <w:rFonts w:ascii="Times New Roman" w:hAnsi="Times New Roman" w:cs="Times New Roman"/>
          <w:sz w:val="24"/>
          <w:szCs w:val="24"/>
        </w:rPr>
        <w:t>,</w:t>
      </w:r>
      <w:r w:rsidRPr="006E30E2">
        <w:rPr>
          <w:rFonts w:ascii="Times New Roman" w:hAnsi="Times New Roman" w:cs="Times New Roman"/>
          <w:sz w:val="24"/>
          <w:szCs w:val="24"/>
        </w:rPr>
        <w:t xml:space="preserve"> the Stipulation and Order Regarding Extension of Second Amended Consent Decree and Monitoring of Def</w:t>
      </w:r>
      <w:r w:rsidR="00770018" w:rsidRPr="006E30E2">
        <w:rPr>
          <w:rFonts w:ascii="Times New Roman" w:hAnsi="Times New Roman" w:cs="Times New Roman"/>
          <w:sz w:val="24"/>
          <w:szCs w:val="24"/>
        </w:rPr>
        <w:t>endants’ Compliance with SACD and Exhibits (Revised Exhibit A and Exhibit B)</w:t>
      </w:r>
      <w:r w:rsidR="00CC243B" w:rsidRPr="006E30E2">
        <w:rPr>
          <w:rFonts w:ascii="Times New Roman" w:hAnsi="Times New Roman" w:cs="Times New Roman"/>
          <w:sz w:val="24"/>
          <w:szCs w:val="24"/>
        </w:rPr>
        <w:t xml:space="preserve">, and </w:t>
      </w:r>
      <w:r w:rsidR="002C5747" w:rsidRPr="006E30E2">
        <w:rPr>
          <w:rFonts w:ascii="Times New Roman" w:hAnsi="Times New Roman" w:cs="Times New Roman"/>
          <w:sz w:val="24"/>
          <w:szCs w:val="24"/>
        </w:rPr>
        <w:t>Stipulation and Order Regarding Extension of Second Amended Consent Decree</w:t>
      </w:r>
      <w:r w:rsidR="00770018" w:rsidRPr="006E30E2">
        <w:rPr>
          <w:rFonts w:ascii="Times New Roman" w:hAnsi="Times New Roman" w:cs="Times New Roman"/>
          <w:sz w:val="24"/>
          <w:szCs w:val="24"/>
        </w:rPr>
        <w:t xml:space="preserve"> are available in the Jail Law Library and will be made available to you upon request</w:t>
      </w:r>
      <w:r w:rsidR="000C2DE0" w:rsidRPr="006E30E2">
        <w:rPr>
          <w:rFonts w:ascii="Times New Roman" w:hAnsi="Times New Roman" w:cs="Times New Roman"/>
          <w:sz w:val="24"/>
          <w:szCs w:val="24"/>
        </w:rPr>
        <w:t>.  These documents are also available in the booking area, housing units, and medical area.</w:t>
      </w:r>
    </w:p>
    <w:p w14:paraId="63E05FAA" w14:textId="3B9C5693" w:rsidR="004C22FF" w:rsidRPr="006E30E2" w:rsidRDefault="00C2418F" w:rsidP="004C22FF">
      <w:pPr>
        <w:rPr>
          <w:rFonts w:ascii="Times New Roman" w:hAnsi="Times New Roman" w:cs="Times New Roman"/>
          <w:sz w:val="24"/>
          <w:szCs w:val="24"/>
        </w:rPr>
      </w:pPr>
      <w:r w:rsidRPr="006E30E2">
        <w:rPr>
          <w:rFonts w:ascii="Times New Roman" w:hAnsi="Times New Roman" w:cs="Times New Roman"/>
          <w:sz w:val="24"/>
          <w:szCs w:val="24"/>
        </w:rPr>
        <w:t xml:space="preserve">If you have any questions regarding the SACD, you may </w:t>
      </w:r>
      <w:r w:rsidR="00EF2651" w:rsidRPr="006E30E2">
        <w:rPr>
          <w:rFonts w:ascii="Times New Roman" w:hAnsi="Times New Roman" w:cs="Times New Roman"/>
          <w:sz w:val="24"/>
          <w:szCs w:val="24"/>
        </w:rPr>
        <w:t>contact</w:t>
      </w:r>
      <w:r w:rsidRPr="006E30E2">
        <w:rPr>
          <w:rFonts w:ascii="Times New Roman" w:hAnsi="Times New Roman" w:cs="Times New Roman"/>
          <w:sz w:val="24"/>
          <w:szCs w:val="24"/>
        </w:rPr>
        <w:t xml:space="preserve"> class counsel below:</w:t>
      </w:r>
    </w:p>
    <w:p w14:paraId="63E05FAB" w14:textId="77777777" w:rsidR="00B52B95" w:rsidRPr="006E30E2" w:rsidRDefault="00B52B95" w:rsidP="00033DF1">
      <w:pPr>
        <w:spacing w:line="240" w:lineRule="auto"/>
        <w:contextualSpacing/>
        <w:rPr>
          <w:rFonts w:ascii="Times New Roman" w:hAnsi="Times New Roman" w:cs="Times New Roman"/>
          <w:sz w:val="24"/>
          <w:szCs w:val="24"/>
        </w:rPr>
      </w:pPr>
      <w:r w:rsidRPr="006E30E2">
        <w:rPr>
          <w:rFonts w:ascii="Times New Roman" w:hAnsi="Times New Roman" w:cs="Times New Roman"/>
          <w:sz w:val="24"/>
          <w:szCs w:val="24"/>
        </w:rPr>
        <w:t>ROSEN BIEN GALVAN &amp; GRUNFELD LLP, P.O. Box 390, San Francisco, CA  94104</w:t>
      </w:r>
    </w:p>
    <w:p w14:paraId="63E05FAC" w14:textId="77777777" w:rsidR="00B52B95" w:rsidRPr="006E30E2" w:rsidRDefault="00033DF1" w:rsidP="00033DF1">
      <w:pPr>
        <w:spacing w:line="240" w:lineRule="auto"/>
        <w:contextualSpacing/>
        <w:rPr>
          <w:rFonts w:ascii="Times New Roman" w:hAnsi="Times New Roman" w:cs="Times New Roman"/>
          <w:sz w:val="24"/>
          <w:szCs w:val="24"/>
        </w:rPr>
      </w:pPr>
      <w:r w:rsidRPr="006E30E2">
        <w:rPr>
          <w:rFonts w:ascii="Times New Roman" w:hAnsi="Times New Roman" w:cs="Times New Roman"/>
          <w:sz w:val="24"/>
          <w:szCs w:val="24"/>
        </w:rPr>
        <w:t>(415) 433-6830</w:t>
      </w:r>
      <w:r w:rsidR="00B52B95" w:rsidRPr="006E30E2">
        <w:rPr>
          <w:rFonts w:ascii="Times New Roman" w:hAnsi="Times New Roman" w:cs="Times New Roman"/>
          <w:sz w:val="24"/>
          <w:szCs w:val="24"/>
        </w:rPr>
        <w:t xml:space="preserve"> </w:t>
      </w:r>
    </w:p>
    <w:p w14:paraId="63E05FAD" w14:textId="77777777" w:rsidR="00C2418F" w:rsidRPr="006E30E2" w:rsidRDefault="00B52B95" w:rsidP="004C22FF">
      <w:pPr>
        <w:rPr>
          <w:rFonts w:ascii="Times New Roman" w:hAnsi="Times New Roman" w:cs="Times New Roman"/>
          <w:sz w:val="24"/>
          <w:szCs w:val="24"/>
        </w:rPr>
      </w:pPr>
      <w:r w:rsidRPr="006E30E2">
        <w:rPr>
          <w:rFonts w:ascii="Times New Roman" w:hAnsi="Times New Roman" w:cs="Times New Roman"/>
          <w:sz w:val="24"/>
          <w:szCs w:val="24"/>
        </w:rPr>
        <w:t xml:space="preserve">                                         </w:t>
      </w:r>
    </w:p>
    <w:p w14:paraId="63E05FAE" w14:textId="77777777" w:rsidR="00B52B95" w:rsidRPr="006E30E2" w:rsidRDefault="00B52B95" w:rsidP="004C22FF">
      <w:pPr>
        <w:rPr>
          <w:rFonts w:ascii="Times New Roman" w:hAnsi="Times New Roman" w:cs="Times New Roman"/>
          <w:sz w:val="24"/>
          <w:szCs w:val="24"/>
        </w:rPr>
      </w:pPr>
    </w:p>
    <w:p w14:paraId="63E05FAF" w14:textId="77777777" w:rsidR="00B52B95" w:rsidRPr="006E30E2" w:rsidRDefault="00B52B95" w:rsidP="004C22FF">
      <w:pPr>
        <w:rPr>
          <w:rFonts w:ascii="Times New Roman" w:hAnsi="Times New Roman" w:cs="Times New Roman"/>
          <w:sz w:val="24"/>
          <w:szCs w:val="24"/>
        </w:rPr>
      </w:pPr>
    </w:p>
    <w:p w14:paraId="63E05FB0" w14:textId="77777777" w:rsidR="00B52B95" w:rsidRPr="006E30E2" w:rsidRDefault="00B52B95" w:rsidP="004C22FF">
      <w:pPr>
        <w:rPr>
          <w:rFonts w:ascii="Times New Roman" w:hAnsi="Times New Roman" w:cs="Times New Roman"/>
          <w:sz w:val="24"/>
          <w:szCs w:val="24"/>
        </w:rPr>
      </w:pPr>
    </w:p>
    <w:p w14:paraId="63E05FB1" w14:textId="77777777" w:rsidR="00B52B95" w:rsidRPr="006E30E2" w:rsidRDefault="00B52B95" w:rsidP="004C22FF">
      <w:pPr>
        <w:rPr>
          <w:rFonts w:ascii="Times New Roman" w:hAnsi="Times New Roman" w:cs="Times New Roman"/>
          <w:sz w:val="28"/>
          <w:szCs w:val="28"/>
        </w:rPr>
      </w:pPr>
    </w:p>
    <w:sectPr w:rsidR="00B52B95" w:rsidRPr="006E30E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60769" w14:textId="77777777" w:rsidR="000F0528" w:rsidRDefault="000F0528" w:rsidP="002D7E73">
      <w:pPr>
        <w:spacing w:after="0" w:line="240" w:lineRule="auto"/>
      </w:pPr>
      <w:r>
        <w:separator/>
      </w:r>
    </w:p>
  </w:endnote>
  <w:endnote w:type="continuationSeparator" w:id="0">
    <w:p w14:paraId="01D55671" w14:textId="77777777" w:rsidR="000F0528" w:rsidRDefault="000F0528" w:rsidP="002D7E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05FB8" w14:textId="77777777" w:rsidR="002D7E73" w:rsidRDefault="002D7E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05FB9" w14:textId="77777777" w:rsidR="002D7E73" w:rsidRDefault="002D7E7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05FBB" w14:textId="77777777" w:rsidR="002D7E73" w:rsidRDefault="002D7E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DACC0" w14:textId="77777777" w:rsidR="000F0528" w:rsidRDefault="000F0528" w:rsidP="002D7E73">
      <w:pPr>
        <w:spacing w:after="0" w:line="240" w:lineRule="auto"/>
      </w:pPr>
      <w:r>
        <w:separator/>
      </w:r>
    </w:p>
  </w:footnote>
  <w:footnote w:type="continuationSeparator" w:id="0">
    <w:p w14:paraId="2E43D3CE" w14:textId="77777777" w:rsidR="000F0528" w:rsidRDefault="000F0528" w:rsidP="002D7E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05FB6" w14:textId="77777777" w:rsidR="002D7E73" w:rsidRDefault="002D7E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05FB7" w14:textId="77777777" w:rsidR="002D7E73" w:rsidRDefault="002D7E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05FBA" w14:textId="77777777" w:rsidR="002D7E73" w:rsidRDefault="002D7E7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3923"/>
    <w:rsid w:val="0000458F"/>
    <w:rsid w:val="00033DF1"/>
    <w:rsid w:val="00054AD3"/>
    <w:rsid w:val="000B02D2"/>
    <w:rsid w:val="000C2DE0"/>
    <w:rsid w:val="000C3067"/>
    <w:rsid w:val="000D2A12"/>
    <w:rsid w:val="000F0528"/>
    <w:rsid w:val="00170B62"/>
    <w:rsid w:val="00180ECC"/>
    <w:rsid w:val="00204DE2"/>
    <w:rsid w:val="002125C2"/>
    <w:rsid w:val="00213923"/>
    <w:rsid w:val="002C5747"/>
    <w:rsid w:val="002D0060"/>
    <w:rsid w:val="002D7E73"/>
    <w:rsid w:val="003724AB"/>
    <w:rsid w:val="00385D77"/>
    <w:rsid w:val="003D692E"/>
    <w:rsid w:val="003F41C8"/>
    <w:rsid w:val="00425B4F"/>
    <w:rsid w:val="004450FB"/>
    <w:rsid w:val="00477328"/>
    <w:rsid w:val="00477737"/>
    <w:rsid w:val="004C22FF"/>
    <w:rsid w:val="004D2306"/>
    <w:rsid w:val="00516126"/>
    <w:rsid w:val="00517C22"/>
    <w:rsid w:val="00520830"/>
    <w:rsid w:val="00595ACD"/>
    <w:rsid w:val="005F1AB1"/>
    <w:rsid w:val="006E30E2"/>
    <w:rsid w:val="0075445F"/>
    <w:rsid w:val="007658ED"/>
    <w:rsid w:val="00770018"/>
    <w:rsid w:val="007B0810"/>
    <w:rsid w:val="007C45FA"/>
    <w:rsid w:val="007D2EF1"/>
    <w:rsid w:val="008515FB"/>
    <w:rsid w:val="00854B42"/>
    <w:rsid w:val="009017E2"/>
    <w:rsid w:val="009130A1"/>
    <w:rsid w:val="00955296"/>
    <w:rsid w:val="00973EE9"/>
    <w:rsid w:val="009B4665"/>
    <w:rsid w:val="009C5E41"/>
    <w:rsid w:val="00A01084"/>
    <w:rsid w:val="00A15E2F"/>
    <w:rsid w:val="00A31E8A"/>
    <w:rsid w:val="00A46B8C"/>
    <w:rsid w:val="00A644DD"/>
    <w:rsid w:val="00A91142"/>
    <w:rsid w:val="00A92EB1"/>
    <w:rsid w:val="00A97DD1"/>
    <w:rsid w:val="00AD1D57"/>
    <w:rsid w:val="00B150B2"/>
    <w:rsid w:val="00B15EF3"/>
    <w:rsid w:val="00B32A39"/>
    <w:rsid w:val="00B3301C"/>
    <w:rsid w:val="00B335A8"/>
    <w:rsid w:val="00B37CA8"/>
    <w:rsid w:val="00B52B95"/>
    <w:rsid w:val="00B64C87"/>
    <w:rsid w:val="00BB4E1D"/>
    <w:rsid w:val="00C2418F"/>
    <w:rsid w:val="00C26583"/>
    <w:rsid w:val="00C61206"/>
    <w:rsid w:val="00CC243B"/>
    <w:rsid w:val="00CC7792"/>
    <w:rsid w:val="00CE02DF"/>
    <w:rsid w:val="00D44797"/>
    <w:rsid w:val="00D6001E"/>
    <w:rsid w:val="00D675D5"/>
    <w:rsid w:val="00D753F2"/>
    <w:rsid w:val="00D77703"/>
    <w:rsid w:val="00DB523A"/>
    <w:rsid w:val="00DE20A2"/>
    <w:rsid w:val="00DE4FFB"/>
    <w:rsid w:val="00DF5FD5"/>
    <w:rsid w:val="00E04C2F"/>
    <w:rsid w:val="00E32A86"/>
    <w:rsid w:val="00E37229"/>
    <w:rsid w:val="00E96E9B"/>
    <w:rsid w:val="00EB5667"/>
    <w:rsid w:val="00EF2651"/>
    <w:rsid w:val="00F772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E05FA0"/>
  <w15:chartTrackingRefBased/>
  <w15:docId w15:val="{113EB15F-A33C-4D56-B186-3ABC3B770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7E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7E73"/>
  </w:style>
  <w:style w:type="paragraph" w:styleId="Footer">
    <w:name w:val="footer"/>
    <w:basedOn w:val="Normal"/>
    <w:link w:val="FooterChar"/>
    <w:uiPriority w:val="99"/>
    <w:unhideWhenUsed/>
    <w:rsid w:val="002D7E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7E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C03AE1-0FAA-49C0-985A-534493DCA4BB}">
  <ds:schemaRefs>
    <ds:schemaRef ds:uri="http://schemas.openxmlformats.org/officeDocument/2006/bibliography"/>
  </ds:schemaRefs>
</ds:datastoreItem>
</file>

<file path=docMetadata/LabelInfo.xml><?xml version="1.0" encoding="utf-8"?>
<clbl:labelList xmlns:clbl="http://schemas.microsoft.com/office/2020/mipLabelMetadata">
  <clbl:label id="{3e74c5e2-eba3-4318-9335-7e1116bba660}" enabled="0" method="" siteId="{3e74c5e2-eba3-4318-9335-7e1116bba660}" removed="1"/>
</clbl:labelList>
</file>

<file path=docProps/app.xml><?xml version="1.0" encoding="utf-8"?>
<Properties xmlns="http://schemas.openxmlformats.org/officeDocument/2006/extended-properties" xmlns:vt="http://schemas.openxmlformats.org/officeDocument/2006/docPropsVTypes">
  <Template>Normal</Template>
  <TotalTime>55</TotalTime>
  <Pages>1</Pages>
  <Words>719</Words>
  <Characters>4099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Spaletta, Patricia</dc:creator>
  <cp:keywords/>
  <dc:description/>
  <cp:lastModifiedBy>Patricia Spaletta</cp:lastModifiedBy>
  <cp:revision>48</cp:revision>
  <dcterms:created xsi:type="dcterms:W3CDTF">2026-07-30T17:10:00Z</dcterms:created>
  <dcterms:modified xsi:type="dcterms:W3CDTF">2026-07-30T18:04:00Z</dcterms:modified>
</cp:coreProperties>
</file>